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0A5F" w14:textId="77777777" w:rsidR="004404D7" w:rsidRPr="007F06EF" w:rsidRDefault="004404D7" w:rsidP="004404D7">
      <w:pPr>
        <w:numPr>
          <w:ilvl w:val="0"/>
          <w:numId w:val="1"/>
        </w:numPr>
        <w:spacing w:after="0" w:line="240" w:lineRule="auto"/>
        <w:ind w:left="142"/>
        <w:contextualSpacing/>
        <w:jc w:val="both"/>
        <w:rPr>
          <w:rFonts w:ascii="Times New Roman" w:eastAsia="Calibri" w:hAnsi="Times New Roman" w:cs="Times New Roman"/>
          <w:b/>
          <w:bCs/>
          <w:kern w:val="0"/>
          <w14:ligatures w14:val="none"/>
        </w:rPr>
      </w:pPr>
      <w:r w:rsidRPr="007F06EF">
        <w:rPr>
          <w:rFonts w:ascii="Times New Roman" w:eastAsia="Calibri" w:hAnsi="Times New Roman" w:cs="Times New Roman"/>
          <w:b/>
          <w:bCs/>
          <w:kern w:val="0"/>
          <w14:ligatures w14:val="none"/>
        </w:rPr>
        <w:t>Organiziramo nekoliko različitih serija događanja, jedna se primjerice održavaju u sklopu jednog kluba, a druga (tematski povezana) su organizirana na drugim lokacijama u gradu. Postoji li mogućnost da prijavimo obje serije događanja, i koji bi bio najbolji način da to napravimo (dvije zasebne prijave, ili sve u istu)?</w:t>
      </w:r>
    </w:p>
    <w:p w14:paraId="6B5B5CCE" w14:textId="77777777" w:rsidR="004404D7" w:rsidRPr="007F06EF" w:rsidRDefault="004404D7" w:rsidP="004404D7">
      <w:pPr>
        <w:spacing w:after="0" w:line="240" w:lineRule="auto"/>
        <w:ind w:left="142"/>
        <w:contextualSpacing/>
        <w:jc w:val="both"/>
        <w:rPr>
          <w:rFonts w:ascii="Times New Roman" w:eastAsia="Calibri" w:hAnsi="Times New Roman" w:cs="Times New Roman"/>
          <w:b/>
          <w:bCs/>
          <w:kern w:val="0"/>
          <w14:ligatures w14:val="none"/>
        </w:rPr>
      </w:pPr>
    </w:p>
    <w:p w14:paraId="61911436" w14:textId="37405171" w:rsidR="00BD4BE3" w:rsidRPr="007F06EF" w:rsidRDefault="004404D7" w:rsidP="004404D7">
      <w:pPr>
        <w:spacing w:after="0"/>
        <w:jc w:val="both"/>
        <w:rPr>
          <w:rFonts w:ascii="Times New Roman" w:hAnsi="Times New Roman" w:cs="Times New Roman"/>
        </w:rPr>
      </w:pPr>
      <w:r w:rsidRPr="007F06EF">
        <w:rPr>
          <w:rFonts w:ascii="Times New Roman" w:hAnsi="Times New Roman" w:cs="Times New Roman"/>
        </w:rPr>
        <w:t>Ukoliko se radi o tematski i programski povezanim serijama događanja koje zajedno čine jedinstveno kulturno događanje, moguće ih je objediniti i prijaviti u okviru jedne prijave, uz jasno obrazloženje programske povezanosti. Međutim, ukoliko se radi o zasebnim i međusobno neovisnim događanjima koja ne čine jedinstvenu programsku cjelinu, nije moguće podnijeti dvije odvojene prijave u okviru ovog Javnog poziva. Sukladno Javnom pozivu, prijavitelj može podnijeti Prijavu za organizaciju kulturnog događanja samo za jednu razinu događanja, te mu se u jednoj proračunskoj godini može odobriti potpora samo za jedno događanje.</w:t>
      </w:r>
    </w:p>
    <w:p w14:paraId="4F94EB72" w14:textId="77777777" w:rsidR="004404D7" w:rsidRPr="007F06EF" w:rsidRDefault="004404D7" w:rsidP="004404D7">
      <w:pPr>
        <w:spacing w:after="0"/>
        <w:jc w:val="both"/>
        <w:rPr>
          <w:rFonts w:ascii="Times New Roman" w:hAnsi="Times New Roman" w:cs="Times New Roman"/>
        </w:rPr>
      </w:pPr>
    </w:p>
    <w:p w14:paraId="2CC69FF5" w14:textId="09040E04" w:rsidR="004404D7" w:rsidRPr="007F06EF" w:rsidRDefault="004404D7" w:rsidP="004404D7">
      <w:pPr>
        <w:numPr>
          <w:ilvl w:val="0"/>
          <w:numId w:val="1"/>
        </w:numPr>
        <w:spacing w:after="0" w:line="240" w:lineRule="auto"/>
        <w:ind w:left="142" w:hanging="284"/>
        <w:contextualSpacing/>
        <w:jc w:val="both"/>
        <w:rPr>
          <w:rFonts w:ascii="Times New Roman" w:hAnsi="Times New Roman" w:cs="Times New Roman"/>
          <w:b/>
          <w:bCs/>
        </w:rPr>
      </w:pPr>
      <w:r w:rsidRPr="007F06EF">
        <w:rPr>
          <w:rFonts w:ascii="Times New Roman" w:hAnsi="Times New Roman" w:cs="Times New Roman"/>
          <w:b/>
          <w:bCs/>
        </w:rPr>
        <w:t>Da li su za prijavu na Javni poziv za događanja druge razine potrebni Ugovori s izvođačima ili je dovoljno da se dostave objavljeni programi događanja i medijske najave o izvođačima?</w:t>
      </w:r>
    </w:p>
    <w:p w14:paraId="440F7533" w14:textId="648559CF" w:rsidR="004404D7" w:rsidRPr="007F06EF" w:rsidRDefault="004404D7" w:rsidP="004404D7">
      <w:pPr>
        <w:spacing w:after="0" w:line="240" w:lineRule="auto"/>
        <w:contextualSpacing/>
        <w:jc w:val="both"/>
        <w:rPr>
          <w:rFonts w:ascii="Times New Roman" w:hAnsi="Times New Roman" w:cs="Times New Roman"/>
        </w:rPr>
      </w:pPr>
      <w:r w:rsidRPr="007F06EF">
        <w:rPr>
          <w:rFonts w:ascii="Times New Roman" w:hAnsi="Times New Roman" w:cs="Times New Roman"/>
        </w:rPr>
        <w:t>Za prijavu na Javni poziv za događanja druge razine nije nužno dostaviti ugovore s izvođačima, ukoliko se ispunjenje uvjeta može dokazati drugim prihvatljivim dokazima. Sukladno Javnom pozivu, prihvatljivi dokazi uključuju, između ostalog, službeno objavljene programe događanja te medijske najave o izvođačima. Povjerenstvo će prilikom ocjenjivanja uzeti u obzir dostavljenu dokumentaciju kojom se vjerodostojno dokazuje ispunjenje propisanih uvjeta.</w:t>
      </w:r>
    </w:p>
    <w:p w14:paraId="2B150BAE" w14:textId="77777777" w:rsidR="004404D7" w:rsidRPr="007F06EF" w:rsidRDefault="004404D7" w:rsidP="004404D7">
      <w:pPr>
        <w:spacing w:after="0" w:line="240" w:lineRule="auto"/>
        <w:contextualSpacing/>
        <w:jc w:val="both"/>
        <w:rPr>
          <w:rFonts w:ascii="Times New Roman" w:hAnsi="Times New Roman" w:cs="Times New Roman"/>
        </w:rPr>
      </w:pPr>
    </w:p>
    <w:p w14:paraId="20194C48" w14:textId="761323D8" w:rsidR="004404D7" w:rsidRPr="007F06EF" w:rsidRDefault="004404D7" w:rsidP="004404D7">
      <w:pPr>
        <w:numPr>
          <w:ilvl w:val="0"/>
          <w:numId w:val="1"/>
        </w:numPr>
        <w:spacing w:after="0" w:line="240" w:lineRule="auto"/>
        <w:ind w:left="142" w:hanging="284"/>
        <w:contextualSpacing/>
        <w:jc w:val="both"/>
        <w:rPr>
          <w:rFonts w:ascii="Times New Roman" w:eastAsia="Times New Roman" w:hAnsi="Times New Roman" w:cs="Times New Roman"/>
          <w:b/>
          <w:bCs/>
          <w:kern w:val="0"/>
          <w:lang w:eastAsia="hr-HR"/>
          <w14:ligatures w14:val="none"/>
        </w:rPr>
      </w:pPr>
      <w:r w:rsidRPr="007F06EF">
        <w:rPr>
          <w:rFonts w:ascii="Times New Roman" w:eastAsia="Times New Roman" w:hAnsi="Times New Roman" w:cs="Times New Roman"/>
          <w:b/>
          <w:bCs/>
          <w:kern w:val="0"/>
          <w:lang w:eastAsia="hr-HR"/>
          <w14:ligatures w14:val="none"/>
        </w:rPr>
        <w:t>U pozivu stoji stavka: Original ili elektronički zapis potvrde nadležne porezne uprave o stanju duga u vezi s poreznim obvezama te obvezama za mirovinsko i zdravstveno osiguranje. Pozitivan ritam d. o. o. ima važeću potvrdu Porezne uprave iz koje je vidljivo da - nema duga po osnovi javnih davanja o kojima službenu evidenciju vodi Porezna uprava. Na potvrdi nije specificirano stanje o  obvezama za mirovinsko i zdravstveno osiguranje. Budući da ni naše računovodstvo ne zna gdje se takva specifična potvrda dobiva, molimo vas za pojašnjenje.</w:t>
      </w:r>
    </w:p>
    <w:p w14:paraId="59D54161" w14:textId="5C1E0DA4" w:rsidR="004404D7" w:rsidRPr="007F06EF" w:rsidRDefault="004404D7" w:rsidP="004404D7">
      <w:pPr>
        <w:spacing w:after="0" w:line="240" w:lineRule="auto"/>
        <w:contextualSpacing/>
        <w:jc w:val="both"/>
        <w:rPr>
          <w:rFonts w:ascii="Times New Roman" w:eastAsia="Times New Roman" w:hAnsi="Times New Roman" w:cs="Times New Roman"/>
          <w:kern w:val="0"/>
          <w:lang w:eastAsia="hr-HR"/>
          <w14:ligatures w14:val="none"/>
        </w:rPr>
      </w:pPr>
      <w:r w:rsidRPr="007F06EF">
        <w:rPr>
          <w:rFonts w:ascii="Times New Roman" w:eastAsia="Times New Roman" w:hAnsi="Times New Roman" w:cs="Times New Roman"/>
          <w:kern w:val="0"/>
          <w:lang w:eastAsia="hr-HR"/>
          <w14:ligatures w14:val="none"/>
        </w:rPr>
        <w:t>Potvrda Porezne uprave o stanju duga po osnovi javnih davanja koju izdaje Porezna uprava obuhvaća i obveze po osnovi poreza, doprinosa za mirovinsko i zdravstveno osiguranje te drugih javnih davanja za koja Porezna uprava vodi službenu evidenciju. Slijedom navedenog, dostavljena važeća potvrda iz koje je razvidno da prijavitelj nema duga po osnovi javnih davanja smatra se prihvatljivim dokazom u smislu Javnog poziva, te nije potrebno dostavljati dodatnu zasebnu potvrdu vezanu uz mirovinsko i zdravstveno osiguranje.</w:t>
      </w:r>
    </w:p>
    <w:p w14:paraId="059029D2" w14:textId="77777777" w:rsidR="004404D7" w:rsidRPr="007F06EF" w:rsidRDefault="004404D7" w:rsidP="004404D7">
      <w:pPr>
        <w:spacing w:after="0" w:line="240" w:lineRule="auto"/>
        <w:rPr>
          <w:rFonts w:ascii="Aptos" w:eastAsia="Times New Roman" w:hAnsi="Aptos" w:cs="Aptos"/>
          <w:kern w:val="0"/>
          <w:lang w:eastAsia="hr-HR"/>
          <w14:ligatures w14:val="none"/>
        </w:rPr>
      </w:pPr>
    </w:p>
    <w:p w14:paraId="56C6B4FF" w14:textId="6CCA9B32" w:rsidR="009012DE" w:rsidRPr="007F06EF" w:rsidRDefault="009012DE" w:rsidP="009012DE">
      <w:pPr>
        <w:numPr>
          <w:ilvl w:val="0"/>
          <w:numId w:val="1"/>
        </w:numPr>
        <w:spacing w:after="0" w:line="240" w:lineRule="auto"/>
        <w:ind w:left="142" w:hanging="284"/>
        <w:contextualSpacing/>
        <w:jc w:val="both"/>
        <w:rPr>
          <w:rFonts w:ascii="Times New Roman" w:hAnsi="Times New Roman" w:cs="Times New Roman"/>
          <w:b/>
          <w:bCs/>
        </w:rPr>
      </w:pPr>
      <w:r w:rsidRPr="007F06EF">
        <w:rPr>
          <w:rFonts w:ascii="Times New Roman" w:hAnsi="Times New Roman" w:cs="Times New Roman"/>
          <w:b/>
          <w:bCs/>
        </w:rPr>
        <w:t>Ljubazno molim odgovor na sljedeća pitanja vezano za ispunjavanje prijave za Javni poziv za dodjelu potpore za kulturna događanja na području Grada Zagreba za 2026.g.:</w:t>
      </w:r>
    </w:p>
    <w:p w14:paraId="7B295429" w14:textId="3FC9AEA5" w:rsidR="009012DE" w:rsidRPr="007F06EF" w:rsidRDefault="009012DE" w:rsidP="009012DE">
      <w:pPr>
        <w:pStyle w:val="ListParagraph"/>
        <w:numPr>
          <w:ilvl w:val="0"/>
          <w:numId w:val="2"/>
        </w:numPr>
        <w:spacing w:after="0" w:line="240" w:lineRule="auto"/>
        <w:jc w:val="both"/>
        <w:rPr>
          <w:rFonts w:ascii="Times New Roman" w:hAnsi="Times New Roman" w:cs="Times New Roman"/>
          <w:b/>
          <w:bCs/>
        </w:rPr>
      </w:pPr>
      <w:r w:rsidRPr="007F06EF">
        <w:rPr>
          <w:rFonts w:ascii="Times New Roman" w:hAnsi="Times New Roman" w:cs="Times New Roman"/>
          <w:b/>
          <w:bCs/>
        </w:rPr>
        <w:t>ISKUSTVO FIZIČKIH OSOBA ZADUŽENIH ZA ORGANIZACIJU/REALIZACIJU DOGAĐANJA U POSLJEDNJIH 15 GODINA - sto se točno ovdje očekuje navesti i opisati? Misli li se na fizičke osobe kao sve one suradnike koji su sudjelovali u organizaciji festivala pa svojim pismom potpore mogu biti referenca za festival? </w:t>
      </w:r>
    </w:p>
    <w:p w14:paraId="489A4A13" w14:textId="36070FBA" w:rsidR="009012DE" w:rsidRPr="007F06EF" w:rsidRDefault="009012DE" w:rsidP="009012DE">
      <w:pPr>
        <w:pStyle w:val="ListParagraph"/>
        <w:numPr>
          <w:ilvl w:val="0"/>
          <w:numId w:val="2"/>
        </w:numPr>
        <w:spacing w:after="0" w:line="240" w:lineRule="auto"/>
        <w:jc w:val="both"/>
        <w:rPr>
          <w:rFonts w:ascii="Times New Roman" w:hAnsi="Times New Roman" w:cs="Times New Roman"/>
          <w:b/>
          <w:bCs/>
        </w:rPr>
      </w:pPr>
      <w:r w:rsidRPr="007F06EF">
        <w:rPr>
          <w:rFonts w:ascii="Times New Roman" w:hAnsi="Times New Roman" w:cs="Times New Roman"/>
          <w:b/>
          <w:bCs/>
        </w:rPr>
        <w:t xml:space="preserve"> Možemo li kao dokaz za koncert, koji će se održati 18.05.2026., umjesto ugovora priložiti kao dokaz email prepisku potvrde pregovora? Jer je ugovor u izradi u agenciji. Može li se generalno u prijavi na Javni poziv ponuditi email prepiska kao dokaz?</w:t>
      </w:r>
    </w:p>
    <w:p w14:paraId="1FC0705C" w14:textId="77777777" w:rsidR="009012DE" w:rsidRPr="007F06EF" w:rsidRDefault="009012DE" w:rsidP="009012DE">
      <w:pPr>
        <w:pStyle w:val="ListParagraph"/>
        <w:numPr>
          <w:ilvl w:val="0"/>
          <w:numId w:val="2"/>
        </w:numPr>
        <w:spacing w:after="0" w:line="240" w:lineRule="auto"/>
        <w:jc w:val="both"/>
        <w:rPr>
          <w:rFonts w:ascii="Times New Roman" w:hAnsi="Times New Roman" w:cs="Times New Roman"/>
          <w:b/>
          <w:bCs/>
        </w:rPr>
      </w:pPr>
      <w:r w:rsidRPr="007F06EF">
        <w:rPr>
          <w:rFonts w:ascii="Times New Roman" w:hAnsi="Times New Roman" w:cs="Times New Roman"/>
          <w:b/>
          <w:bCs/>
        </w:rPr>
        <w:t>Obrazac 1 se ispunjava elektronski. Dakle ne  mora se dodatno ispuniti i učitati sam obrazac 1? </w:t>
      </w:r>
    </w:p>
    <w:p w14:paraId="7AF77872" w14:textId="65448A8D" w:rsidR="0071598A" w:rsidRPr="007F06EF" w:rsidRDefault="009012DE" w:rsidP="0071598A">
      <w:pPr>
        <w:pStyle w:val="ListParagraph"/>
        <w:spacing w:after="0" w:line="240" w:lineRule="auto"/>
        <w:ind w:left="284"/>
        <w:jc w:val="both"/>
        <w:rPr>
          <w:rFonts w:ascii="Times New Roman" w:hAnsi="Times New Roman" w:cs="Times New Roman"/>
        </w:rPr>
      </w:pPr>
      <w:r w:rsidRPr="007F06EF">
        <w:rPr>
          <w:rFonts w:ascii="Times New Roman" w:hAnsi="Times New Roman" w:cs="Times New Roman"/>
        </w:rPr>
        <w:lastRenderedPageBreak/>
        <w:t xml:space="preserve">Vezano uz iskustvo fizičkih osoba zaduženih za organizaciju događanja potrebno je opisati profesionalno iskustvo ključnih fizičkih osoba koje sudjeluju u organizaciji i realizaciji prijavljenog događanja (npr. voditelj projekta) s naglaskom na njihovo iskustvo u organizaciji događanja </w:t>
      </w:r>
      <w:r w:rsidR="00231A6F" w:rsidRPr="007F06EF">
        <w:rPr>
          <w:rFonts w:ascii="Times New Roman" w:hAnsi="Times New Roman" w:cs="Times New Roman"/>
        </w:rPr>
        <w:t xml:space="preserve">(koji odgovaraju uvjetima za prijavljenu razinu) </w:t>
      </w:r>
      <w:r w:rsidRPr="007F06EF">
        <w:rPr>
          <w:rFonts w:ascii="Times New Roman" w:hAnsi="Times New Roman" w:cs="Times New Roman"/>
        </w:rPr>
        <w:t>u posljednjih 15 godina. N</w:t>
      </w:r>
      <w:r w:rsidR="00231A6F" w:rsidRPr="007F06EF">
        <w:rPr>
          <w:rFonts w:ascii="Times New Roman" w:hAnsi="Times New Roman" w:cs="Times New Roman"/>
        </w:rPr>
        <w:t>ije potrebno dostavljati</w:t>
      </w:r>
      <w:r w:rsidRPr="007F06EF">
        <w:rPr>
          <w:rFonts w:ascii="Times New Roman" w:hAnsi="Times New Roman" w:cs="Times New Roman"/>
        </w:rPr>
        <w:t xml:space="preserve"> pisma potpore </w:t>
      </w:r>
      <w:r w:rsidR="00231A6F" w:rsidRPr="007F06EF">
        <w:rPr>
          <w:rFonts w:ascii="Times New Roman" w:hAnsi="Times New Roman" w:cs="Times New Roman"/>
        </w:rPr>
        <w:t xml:space="preserve">za sve </w:t>
      </w:r>
      <w:r w:rsidRPr="007F06EF">
        <w:rPr>
          <w:rFonts w:ascii="Times New Roman" w:hAnsi="Times New Roman" w:cs="Times New Roman"/>
        </w:rPr>
        <w:t>suradnik</w:t>
      </w:r>
      <w:r w:rsidR="00231A6F" w:rsidRPr="007F06EF">
        <w:rPr>
          <w:rFonts w:ascii="Times New Roman" w:hAnsi="Times New Roman" w:cs="Times New Roman"/>
        </w:rPr>
        <w:t>e koji sudjeluju u organizaciji festivala</w:t>
      </w:r>
      <w:r w:rsidRPr="007F06EF">
        <w:rPr>
          <w:rFonts w:ascii="Times New Roman" w:hAnsi="Times New Roman" w:cs="Times New Roman"/>
        </w:rPr>
        <w:t>, već opis</w:t>
      </w:r>
      <w:r w:rsidR="00231A6F" w:rsidRPr="007F06EF">
        <w:rPr>
          <w:rFonts w:ascii="Times New Roman" w:hAnsi="Times New Roman" w:cs="Times New Roman"/>
        </w:rPr>
        <w:t>ati</w:t>
      </w:r>
      <w:r w:rsidRPr="007F06EF">
        <w:rPr>
          <w:rFonts w:ascii="Times New Roman" w:hAnsi="Times New Roman" w:cs="Times New Roman"/>
        </w:rPr>
        <w:t xml:space="preserve"> iskustva </w:t>
      </w:r>
      <w:r w:rsidR="007969F0" w:rsidRPr="007F06EF">
        <w:rPr>
          <w:rFonts w:ascii="Times New Roman" w:hAnsi="Times New Roman" w:cs="Times New Roman"/>
        </w:rPr>
        <w:t>ključnih</w:t>
      </w:r>
      <w:bookmarkStart w:id="0" w:name="_GoBack"/>
      <w:bookmarkEnd w:id="0"/>
      <w:r w:rsidR="007969F0" w:rsidRPr="007F06EF">
        <w:rPr>
          <w:rFonts w:ascii="Times New Roman" w:hAnsi="Times New Roman" w:cs="Times New Roman"/>
        </w:rPr>
        <w:t xml:space="preserve"> osoba koje sudjeluju u organizaciji </w:t>
      </w:r>
      <w:r w:rsidRPr="007F06EF">
        <w:rPr>
          <w:rFonts w:ascii="Times New Roman" w:hAnsi="Times New Roman" w:cs="Times New Roman"/>
        </w:rPr>
        <w:t>događanja.</w:t>
      </w:r>
    </w:p>
    <w:p w14:paraId="524AF249" w14:textId="7DFF27B1" w:rsidR="009012DE" w:rsidRPr="007F06EF" w:rsidRDefault="0071598A" w:rsidP="0071598A">
      <w:pPr>
        <w:pStyle w:val="ListParagraph"/>
        <w:spacing w:after="0" w:line="240" w:lineRule="auto"/>
        <w:ind w:left="284"/>
        <w:jc w:val="both"/>
        <w:rPr>
          <w:rFonts w:ascii="Times New Roman" w:hAnsi="Times New Roman" w:cs="Times New Roman"/>
          <w:b/>
          <w:bCs/>
        </w:rPr>
      </w:pPr>
      <w:r w:rsidRPr="007F06EF">
        <w:rPr>
          <w:rFonts w:ascii="Times New Roman" w:hAnsi="Times New Roman" w:cs="Times New Roman"/>
        </w:rPr>
        <w:t>S</w:t>
      </w:r>
      <w:r w:rsidR="009012DE" w:rsidRPr="007F06EF">
        <w:rPr>
          <w:rFonts w:ascii="Times New Roman" w:hAnsi="Times New Roman" w:cs="Times New Roman"/>
        </w:rPr>
        <w:t>ukladno Javnom pozivu, kao dokaz</w:t>
      </w:r>
      <w:r w:rsidRPr="007F06EF">
        <w:rPr>
          <w:rFonts w:ascii="Times New Roman" w:hAnsi="Times New Roman" w:cs="Times New Roman"/>
        </w:rPr>
        <w:t xml:space="preserve"> o održavanju koncerta</w:t>
      </w:r>
      <w:r w:rsidR="009012DE" w:rsidRPr="007F06EF">
        <w:rPr>
          <w:rFonts w:ascii="Times New Roman" w:hAnsi="Times New Roman" w:cs="Times New Roman"/>
        </w:rPr>
        <w:t xml:space="preserve"> moguće </w:t>
      </w:r>
      <w:r w:rsidRPr="007F06EF">
        <w:rPr>
          <w:rFonts w:ascii="Times New Roman" w:hAnsi="Times New Roman" w:cs="Times New Roman"/>
        </w:rPr>
        <w:t xml:space="preserve">je </w:t>
      </w:r>
      <w:r w:rsidR="009012DE" w:rsidRPr="007F06EF">
        <w:rPr>
          <w:rFonts w:ascii="Times New Roman" w:hAnsi="Times New Roman" w:cs="Times New Roman"/>
        </w:rPr>
        <w:t>priložiti i druge dokumente</w:t>
      </w:r>
      <w:r w:rsidRPr="007F06EF">
        <w:rPr>
          <w:rFonts w:ascii="Times New Roman" w:hAnsi="Times New Roman" w:cs="Times New Roman"/>
        </w:rPr>
        <w:t xml:space="preserve"> umjesto ugovora</w:t>
      </w:r>
      <w:r w:rsidR="009012DE" w:rsidRPr="007F06EF">
        <w:rPr>
          <w:rFonts w:ascii="Times New Roman" w:hAnsi="Times New Roman" w:cs="Times New Roman"/>
        </w:rPr>
        <w:t>, poput objavljenih programa, medijskih najava ili druge relevantne dokumentacije. U iznimnim slučajevima, dok ugovor još nije finaliziran, može se priložiti i e-mail prepiska koja jasno potvrđuje dogovor s izvođačem, uz napomenu da Povjerenstvo zadržava pravo zatražiti dodatne dokaze u kasnijoj fazi postupka.</w:t>
      </w:r>
      <w:r w:rsidR="009012DE" w:rsidRPr="007F06EF">
        <w:br/>
      </w:r>
      <w:r w:rsidR="009012DE" w:rsidRPr="007F06EF">
        <w:rPr>
          <w:rFonts w:ascii="Times New Roman" w:hAnsi="Times New Roman" w:cs="Times New Roman"/>
        </w:rPr>
        <w:t xml:space="preserve">Obrazac 1 ispunjava se isključivo elektroničkim putem kroz sustav prijave </w:t>
      </w:r>
      <w:r w:rsidR="007969F0" w:rsidRPr="007F06EF">
        <w:rPr>
          <w:rFonts w:ascii="Times New Roman" w:hAnsi="Times New Roman" w:cs="Times New Roman"/>
        </w:rPr>
        <w:t>te ga nije potrebno dodatno učitati</w:t>
      </w:r>
      <w:r w:rsidR="009012DE" w:rsidRPr="007F06EF">
        <w:rPr>
          <w:rFonts w:ascii="Times New Roman" w:hAnsi="Times New Roman" w:cs="Times New Roman"/>
        </w:rPr>
        <w:t>.</w:t>
      </w:r>
    </w:p>
    <w:p w14:paraId="449DF8D4" w14:textId="77777777" w:rsidR="009012DE" w:rsidRPr="007F06EF" w:rsidRDefault="009012DE" w:rsidP="009012DE">
      <w:pPr>
        <w:spacing w:after="0" w:line="240" w:lineRule="auto"/>
        <w:jc w:val="both"/>
        <w:rPr>
          <w:rFonts w:ascii="Times New Roman" w:hAnsi="Times New Roman" w:cs="Times New Roman"/>
          <w:b/>
          <w:bCs/>
        </w:rPr>
      </w:pPr>
    </w:p>
    <w:p w14:paraId="4F679304" w14:textId="6908A132" w:rsidR="004404D7" w:rsidRPr="007F06EF" w:rsidRDefault="009012DE" w:rsidP="009012DE">
      <w:pPr>
        <w:numPr>
          <w:ilvl w:val="0"/>
          <w:numId w:val="1"/>
        </w:numPr>
        <w:spacing w:after="0" w:line="240" w:lineRule="auto"/>
        <w:ind w:left="142"/>
        <w:contextualSpacing/>
        <w:jc w:val="both"/>
        <w:rPr>
          <w:rFonts w:ascii="Times New Roman" w:hAnsi="Times New Roman" w:cs="Times New Roman"/>
          <w:b/>
          <w:bCs/>
        </w:rPr>
      </w:pPr>
      <w:r w:rsidRPr="007F06EF">
        <w:rPr>
          <w:rFonts w:ascii="Times New Roman" w:hAnsi="Times New Roman" w:cs="Times New Roman"/>
          <w:b/>
          <w:bCs/>
        </w:rPr>
        <w:t xml:space="preserve">Ispunjavaju li se obrasci:Obrazac_1. Prijava za dodjelu državne potpore za kulturna događanja na području Grada Zagreba za 2025. godinu (002).doc i  Obrazac 4. Financijski plan troškovnik kulturnog događanja.doc bez obzira na to što se ti podatci već unose u online prijavnicu i u slučaju da se ispunjavaju dodatno, gdje se oni </w:t>
      </w:r>
      <w:proofErr w:type="spellStart"/>
      <w:r w:rsidRPr="007F06EF">
        <w:rPr>
          <w:rFonts w:ascii="Times New Roman" w:hAnsi="Times New Roman" w:cs="Times New Roman"/>
          <w:b/>
          <w:bCs/>
        </w:rPr>
        <w:t>uploadaju</w:t>
      </w:r>
      <w:proofErr w:type="spellEnd"/>
      <w:r w:rsidRPr="007F06EF">
        <w:rPr>
          <w:rFonts w:ascii="Times New Roman" w:hAnsi="Times New Roman" w:cs="Times New Roman"/>
          <w:b/>
          <w:bCs/>
        </w:rPr>
        <w:t>? (meni se obrazac 4. kada ga skinem raspadne i ne prati tablicu, moguće da je do nekompatibilnosti sustava, pa da mogu reagirati ako ga trebam ispuniti u tom obliku). I samo zadnja provjera: Obrazac 5 - ovlaštenje za podnošenje prijave.docx se odnosi na ovlaštenje suorganizatora i na ovlaštenje osobi da za tvrtku preda prijavu?</w:t>
      </w:r>
    </w:p>
    <w:p w14:paraId="514A9113" w14:textId="704E6182" w:rsidR="0071598A" w:rsidRPr="007F06EF" w:rsidRDefault="0071598A" w:rsidP="0071598A">
      <w:pPr>
        <w:spacing w:after="0" w:line="240" w:lineRule="auto"/>
        <w:ind w:left="142"/>
        <w:contextualSpacing/>
        <w:jc w:val="both"/>
      </w:pPr>
      <w:r w:rsidRPr="007F06EF">
        <w:rPr>
          <w:rFonts w:ascii="Times New Roman" w:hAnsi="Times New Roman" w:cs="Times New Roman"/>
        </w:rPr>
        <w:t xml:space="preserve">Obrazac 1 (Prijava) i Obrazac 4 (Financijski plan/troškovnik) ispunjavaju se </w:t>
      </w:r>
      <w:r w:rsidR="00CC269A" w:rsidRPr="007F06EF">
        <w:rPr>
          <w:rStyle w:val="Strong"/>
          <w:rFonts w:ascii="Times New Roman" w:hAnsi="Times New Roman" w:cs="Times New Roman"/>
          <w:b w:val="0"/>
          <w:bCs w:val="0"/>
        </w:rPr>
        <w:t>elektronički putem</w:t>
      </w:r>
      <w:r w:rsidRPr="007F06EF">
        <w:rPr>
          <w:rFonts w:ascii="Times New Roman" w:hAnsi="Times New Roman" w:cs="Times New Roman"/>
        </w:rPr>
        <w:t xml:space="preserve"> </w:t>
      </w:r>
      <w:r w:rsidR="00ED6106" w:rsidRPr="007F06EF">
        <w:rPr>
          <w:rFonts w:ascii="Times New Roman" w:hAnsi="Times New Roman" w:cs="Times New Roman"/>
        </w:rPr>
        <w:t>službene stranice Grada Zagreba </w:t>
      </w:r>
      <w:hyperlink r:id="rId5" w:history="1">
        <w:r w:rsidR="00ED6106" w:rsidRPr="007F06EF">
          <w:rPr>
            <w:rStyle w:val="Hyperlink"/>
            <w:rFonts w:ascii="Times New Roman" w:hAnsi="Times New Roman" w:cs="Times New Roman"/>
          </w:rPr>
          <w:t>natjecaji.zagreb.hr</w:t>
        </w:r>
      </w:hyperlink>
      <w:r w:rsidR="00ED6106" w:rsidRPr="007F06EF">
        <w:rPr>
          <w:rFonts w:ascii="Times New Roman" w:hAnsi="Times New Roman" w:cs="Times New Roman"/>
        </w:rPr>
        <w:t xml:space="preserve"> </w:t>
      </w:r>
      <w:r w:rsidR="00CC269A" w:rsidRPr="007F06EF">
        <w:rPr>
          <w:rFonts w:ascii="Times New Roman" w:hAnsi="Times New Roman" w:cs="Times New Roman"/>
        </w:rPr>
        <w:t>te ih n</w:t>
      </w:r>
      <w:r w:rsidRPr="007F06EF">
        <w:rPr>
          <w:rFonts w:ascii="Times New Roman" w:hAnsi="Times New Roman" w:cs="Times New Roman"/>
        </w:rPr>
        <w:t>ije ih potrebno dodatno ispunjavati</w:t>
      </w:r>
      <w:r w:rsidR="00CC269A" w:rsidRPr="007F06EF">
        <w:rPr>
          <w:rFonts w:ascii="Times New Roman" w:hAnsi="Times New Roman" w:cs="Times New Roman"/>
        </w:rPr>
        <w:t xml:space="preserve"> i</w:t>
      </w:r>
      <w:r w:rsidRPr="007F06EF">
        <w:rPr>
          <w:rFonts w:ascii="Times New Roman" w:hAnsi="Times New Roman" w:cs="Times New Roman"/>
        </w:rPr>
        <w:t xml:space="preserve"> zasebno učitavati u sustav</w:t>
      </w:r>
      <w:r w:rsidR="00CC269A" w:rsidRPr="007F06EF">
        <w:rPr>
          <w:rFonts w:ascii="Times New Roman" w:hAnsi="Times New Roman" w:cs="Times New Roman"/>
        </w:rPr>
        <w:t xml:space="preserve"> bez obzira </w:t>
      </w:r>
      <w:r w:rsidR="00ED6106" w:rsidRPr="007F06EF">
        <w:rPr>
          <w:rFonts w:ascii="Times New Roman" w:hAnsi="Times New Roman" w:cs="Times New Roman"/>
        </w:rPr>
        <w:t xml:space="preserve">na to </w:t>
      </w:r>
      <w:r w:rsidR="00CC269A" w:rsidRPr="007F06EF">
        <w:rPr>
          <w:rFonts w:ascii="Times New Roman" w:hAnsi="Times New Roman" w:cs="Times New Roman"/>
        </w:rPr>
        <w:t>što su</w:t>
      </w:r>
      <w:r w:rsidRPr="007F06EF">
        <w:rPr>
          <w:rFonts w:ascii="Times New Roman" w:hAnsi="Times New Roman" w:cs="Times New Roman"/>
        </w:rPr>
        <w:t xml:space="preserve"> dostupni za preuzimanje na mrežnim stranicama.</w:t>
      </w:r>
      <w:r w:rsidRPr="007F06EF">
        <w:t xml:space="preserve"> </w:t>
      </w:r>
    </w:p>
    <w:p w14:paraId="7109A0A5" w14:textId="5AE39CE3" w:rsidR="0071598A" w:rsidRPr="007F06EF" w:rsidRDefault="0071598A" w:rsidP="0071598A">
      <w:pPr>
        <w:spacing w:after="0" w:line="240" w:lineRule="auto"/>
        <w:ind w:left="142"/>
        <w:contextualSpacing/>
        <w:jc w:val="both"/>
        <w:rPr>
          <w:rFonts w:ascii="Times New Roman" w:hAnsi="Times New Roman" w:cs="Times New Roman"/>
        </w:rPr>
      </w:pPr>
      <w:r w:rsidRPr="007F06EF">
        <w:rPr>
          <w:rFonts w:ascii="Times New Roman" w:hAnsi="Times New Roman" w:cs="Times New Roman"/>
        </w:rPr>
        <w:t>Obrazac 5</w:t>
      </w:r>
      <w:r w:rsidR="00CC269A" w:rsidRPr="007F06EF">
        <w:rPr>
          <w:rFonts w:ascii="Times New Roman" w:hAnsi="Times New Roman" w:cs="Times New Roman"/>
        </w:rPr>
        <w:t xml:space="preserve"> – ovlaštenje za podnošenje prijave</w:t>
      </w:r>
      <w:r w:rsidRPr="007F06EF">
        <w:rPr>
          <w:rFonts w:ascii="Times New Roman" w:hAnsi="Times New Roman" w:cs="Times New Roman"/>
        </w:rPr>
        <w:t xml:space="preserve"> odnosi se isključivo na slučajeve kada prijavu ne podnosi osoba ovlaštena za zastupanje prijavitelja, već druga osoba temeljem danog ovlaštenja. Ne odnosi se na ovlaštenje suorganizatora, već na ovlaštenje fizičke osobe za  podnošenje prijave u ime prijavitelja. Ovlaštenja suorganizatora uređuju se putem Obrasca 3 – Izjava suorganizatora.</w:t>
      </w:r>
    </w:p>
    <w:p w14:paraId="0EBFDD9B" w14:textId="77777777" w:rsidR="0071598A" w:rsidRPr="007F06EF" w:rsidRDefault="0071598A" w:rsidP="0071598A">
      <w:pPr>
        <w:spacing w:after="0" w:line="240" w:lineRule="auto"/>
        <w:ind w:left="142"/>
        <w:contextualSpacing/>
        <w:jc w:val="both"/>
        <w:rPr>
          <w:rFonts w:ascii="Times New Roman" w:hAnsi="Times New Roman" w:cs="Times New Roman"/>
        </w:rPr>
      </w:pPr>
    </w:p>
    <w:p w14:paraId="6B9DBE65" w14:textId="4B969A16" w:rsidR="0071598A" w:rsidRPr="007F06EF" w:rsidRDefault="006920FC" w:rsidP="0071598A">
      <w:pPr>
        <w:numPr>
          <w:ilvl w:val="0"/>
          <w:numId w:val="1"/>
        </w:numPr>
        <w:spacing w:after="0" w:line="240" w:lineRule="auto"/>
        <w:ind w:left="142"/>
        <w:contextualSpacing/>
        <w:jc w:val="both"/>
        <w:rPr>
          <w:rFonts w:ascii="Times New Roman" w:hAnsi="Times New Roman" w:cs="Times New Roman"/>
          <w:b/>
          <w:bCs/>
        </w:rPr>
      </w:pPr>
      <w:r w:rsidRPr="007F06EF">
        <w:rPr>
          <w:rFonts w:ascii="Times New Roman" w:hAnsi="Times New Roman" w:cs="Times New Roman"/>
          <w:b/>
          <w:bCs/>
        </w:rPr>
        <w:t xml:space="preserve">Objašnjenje troškovnika: </w:t>
      </w:r>
    </w:p>
    <w:p w14:paraId="46C65D8A" w14:textId="34132D76" w:rsidR="006920FC" w:rsidRPr="007F06EF" w:rsidRDefault="006920FC" w:rsidP="006920FC">
      <w:pPr>
        <w:pStyle w:val="ListParagraph"/>
        <w:numPr>
          <w:ilvl w:val="0"/>
          <w:numId w:val="3"/>
        </w:numPr>
        <w:spacing w:after="0" w:line="240" w:lineRule="auto"/>
        <w:jc w:val="both"/>
        <w:rPr>
          <w:rFonts w:ascii="Times New Roman" w:hAnsi="Times New Roman" w:cs="Times New Roman"/>
          <w:b/>
          <w:bCs/>
        </w:rPr>
      </w:pPr>
      <w:r w:rsidRPr="007F06EF">
        <w:rPr>
          <w:rFonts w:ascii="Times New Roman" w:hAnsi="Times New Roman" w:cs="Times New Roman"/>
          <w:b/>
          <w:bCs/>
        </w:rPr>
        <w:t>A - OPIS TROŠKOVA ZA KOJE SE TRAŽI POTPORA OD GRADA ZAGREBA - unosimo li ovdje prihvatljive troškove projekta svaki pojedinačno (proteklih godina smo prilagali tablicu i za svaku stavku tablice smo priložili ponudu ili projekciju na temelju protekle godine) Npr. za trošak studentskih ugovora nije moguće dobiti ponude pa smo stavili prošlogodišnji iznos studentskih ugovora tj. projekciju potrebnih radnih sati i cijene sata. Mi imamo raspored i tablicu potrebnih pozicija, hoće li to biti odgovarajući dokaz za taj redak troška? Ako dobro tumačim zbroj ovih svih redaka će se uzimati kao ukupni prihvatljivi troškovi projekta od kojega se računa prihvatljivih 80%? U tom slučaju gdje iskazujemo ostale troškove projekta koji ne ulaze u troškove koji su u ovom natječaju definirani kao prihvatljivi, a de facto su troškovi projekta i utječu na konačni izračun projekta?</w:t>
      </w:r>
    </w:p>
    <w:p w14:paraId="13144774" w14:textId="2B0BBF71" w:rsidR="006920FC" w:rsidRPr="007F06EF" w:rsidRDefault="006920FC" w:rsidP="006920FC">
      <w:pPr>
        <w:spacing w:after="0" w:line="240" w:lineRule="auto"/>
        <w:ind w:left="502"/>
        <w:jc w:val="both"/>
        <w:rPr>
          <w:rFonts w:ascii="Times New Roman" w:hAnsi="Times New Roman" w:cs="Times New Roman"/>
        </w:rPr>
      </w:pPr>
      <w:r w:rsidRPr="007F06EF">
        <w:rPr>
          <w:rFonts w:ascii="Times New Roman" w:hAnsi="Times New Roman" w:cs="Times New Roman"/>
        </w:rPr>
        <w:t xml:space="preserve">U ovu rubriku unose se isključivo prihvatljivi troškovi definirani Javnim pozivom, pojedinačno po stavkama. Zbroj tih stavki predstavlja ukupne prihvatljive troškove projekta, na temelju kojih se izračunava intenzitet potpore. Kao dokaz za pojedinu stavku troška u fazi prijave mogu se prihvatiti računi, ponude ili predračuni, ukoliko već postoje,  </w:t>
      </w:r>
      <w:r w:rsidRPr="007F06EF">
        <w:rPr>
          <w:rFonts w:ascii="Times New Roman" w:hAnsi="Times New Roman" w:cs="Times New Roman"/>
        </w:rPr>
        <w:lastRenderedPageBreak/>
        <w:t>ili pro</w:t>
      </w:r>
      <w:r w:rsidR="000A3FFD" w:rsidRPr="007F06EF">
        <w:rPr>
          <w:rFonts w:ascii="Times New Roman" w:hAnsi="Times New Roman" w:cs="Times New Roman"/>
        </w:rPr>
        <w:t>cjene</w:t>
      </w:r>
      <w:r w:rsidRPr="007F06EF">
        <w:rPr>
          <w:rFonts w:ascii="Times New Roman" w:hAnsi="Times New Roman" w:cs="Times New Roman"/>
        </w:rPr>
        <w:t xml:space="preserve"> troškova temeljene na jasno objašnjenoj i dokazivoj metodologiji, osobito za troškove za koje nije moguće pribaviti ponude (npr. studentski ugovori, honorari prema satnici i sl.). Troškovi projekta koji nisu prihvatljivi prema ovom Javnom pozivu ne unose se u ovu rubriku. </w:t>
      </w:r>
    </w:p>
    <w:p w14:paraId="5ED2BDF5" w14:textId="4D533B8D" w:rsidR="006920FC" w:rsidRPr="007F06EF" w:rsidRDefault="006920FC" w:rsidP="006920FC">
      <w:pPr>
        <w:pStyle w:val="ListParagraph"/>
        <w:numPr>
          <w:ilvl w:val="0"/>
          <w:numId w:val="3"/>
        </w:numPr>
        <w:spacing w:after="0" w:line="240" w:lineRule="auto"/>
        <w:jc w:val="both"/>
        <w:rPr>
          <w:rFonts w:ascii="Times New Roman" w:hAnsi="Times New Roman" w:cs="Times New Roman"/>
          <w:b/>
          <w:bCs/>
        </w:rPr>
      </w:pPr>
      <w:r w:rsidRPr="007F06EF">
        <w:rPr>
          <w:rFonts w:ascii="Times New Roman" w:hAnsi="Times New Roman" w:cs="Times New Roman"/>
          <w:b/>
          <w:bCs/>
        </w:rPr>
        <w:t xml:space="preserve">B - SUDJELOVANJE DRUGIH SUBJEKATA U FINANCIRANJU (navesti partnere, sponzore i druge izvore te navesti uložena sredstva) - Ova stavka koja također zahtijeva dokaze, u fazi prijave projekta može biti samo projekcija jer ne možemo imati dokaze za iznose i sudjelovanje, budući ugovori još nisu zaključeni, dogovori sa ambasadama i ostalim organizacijama još nisu finalizirani, a sredstva nisu realizirana. Isto tako ostali natječaji koji su u projekciji </w:t>
      </w:r>
      <w:proofErr w:type="spellStart"/>
      <w:r w:rsidRPr="007F06EF">
        <w:rPr>
          <w:rFonts w:ascii="Times New Roman" w:hAnsi="Times New Roman" w:cs="Times New Roman"/>
          <w:b/>
          <w:bCs/>
        </w:rPr>
        <w:t>budgeta</w:t>
      </w:r>
      <w:proofErr w:type="spellEnd"/>
      <w:r w:rsidRPr="007F06EF">
        <w:rPr>
          <w:rFonts w:ascii="Times New Roman" w:hAnsi="Times New Roman" w:cs="Times New Roman"/>
          <w:b/>
          <w:bCs/>
        </w:rPr>
        <w:t xml:space="preserve"> još nisu zaključeni i ugovori nisu potpisani, jer se čekaju javne objave rezultata. Kako da to dokažemo? Prijedlog je da se kao i do sada stave projekcije bez dokaza, a po realizaciji projekta u izvješću kao i do sada prikažu ti realizirani prihodi. Nije mi jasno na koji način u ovoj fazi prijave projekta to utječe na bodovanje, kada se uzimaju u obzir prihvatljivi troškovi tj. </w:t>
      </w:r>
      <w:proofErr w:type="spellStart"/>
      <w:r w:rsidRPr="007F06EF">
        <w:rPr>
          <w:rFonts w:ascii="Times New Roman" w:hAnsi="Times New Roman" w:cs="Times New Roman"/>
          <w:b/>
          <w:bCs/>
        </w:rPr>
        <w:t>max</w:t>
      </w:r>
      <w:proofErr w:type="spellEnd"/>
      <w:r w:rsidRPr="007F06EF">
        <w:rPr>
          <w:rFonts w:ascii="Times New Roman" w:hAnsi="Times New Roman" w:cs="Times New Roman"/>
          <w:b/>
          <w:bCs/>
        </w:rPr>
        <w:t xml:space="preserve"> 80% istih za odobravanje sredstava? Molim vas za pomoć kako da to riješim?</w:t>
      </w:r>
    </w:p>
    <w:p w14:paraId="6DE67BDC" w14:textId="3E805ECA" w:rsidR="00827380" w:rsidRPr="007F06EF" w:rsidRDefault="00827380" w:rsidP="00827380">
      <w:pPr>
        <w:spacing w:after="0" w:line="240" w:lineRule="auto"/>
        <w:ind w:left="502"/>
        <w:jc w:val="both"/>
        <w:rPr>
          <w:rFonts w:ascii="Times New Roman" w:hAnsi="Times New Roman" w:cs="Times New Roman"/>
        </w:rPr>
      </w:pPr>
      <w:r w:rsidRPr="007F06EF">
        <w:rPr>
          <w:rFonts w:ascii="Times New Roman" w:hAnsi="Times New Roman" w:cs="Times New Roman"/>
        </w:rPr>
        <w:t>U fazi podnošenja prijave moguće  je navoditi pr</w:t>
      </w:r>
      <w:r w:rsidR="000A3FFD" w:rsidRPr="007F06EF">
        <w:rPr>
          <w:rFonts w:ascii="Times New Roman" w:hAnsi="Times New Roman" w:cs="Times New Roman"/>
        </w:rPr>
        <w:t>ocjene</w:t>
      </w:r>
      <w:r w:rsidRPr="007F06EF">
        <w:rPr>
          <w:rFonts w:ascii="Times New Roman" w:hAnsi="Times New Roman" w:cs="Times New Roman"/>
        </w:rPr>
        <w:t xml:space="preserve"> sredstava drugih izvora </w:t>
      </w:r>
      <w:r w:rsidR="000A3FFD" w:rsidRPr="007F06EF">
        <w:rPr>
          <w:rFonts w:ascii="Times New Roman" w:hAnsi="Times New Roman" w:cs="Times New Roman"/>
        </w:rPr>
        <w:t xml:space="preserve"> financiranja </w:t>
      </w:r>
      <w:r w:rsidRPr="007F06EF">
        <w:rPr>
          <w:rFonts w:ascii="Times New Roman" w:hAnsi="Times New Roman" w:cs="Times New Roman"/>
        </w:rPr>
        <w:t xml:space="preserve">(partneri, sponzori, drugi natječaji) s obzirom na to da u trenutku prijave ugovori sa sponzorima, partnerima, institucijama i/ili dr. često </w:t>
      </w:r>
      <w:r w:rsidR="007631B8" w:rsidRPr="007F06EF">
        <w:rPr>
          <w:rFonts w:ascii="Times New Roman" w:hAnsi="Times New Roman" w:cs="Times New Roman"/>
        </w:rPr>
        <w:t xml:space="preserve">nisu </w:t>
      </w:r>
      <w:r w:rsidRPr="007F06EF">
        <w:rPr>
          <w:rFonts w:ascii="Times New Roman" w:hAnsi="Times New Roman" w:cs="Times New Roman"/>
        </w:rPr>
        <w:t>još zaključeni, a sredstva nisu realizirana.</w:t>
      </w:r>
    </w:p>
    <w:p w14:paraId="58FAB456" w14:textId="4DFD16FD" w:rsidR="00827380" w:rsidRPr="007F06EF" w:rsidRDefault="00827380" w:rsidP="00827380">
      <w:pPr>
        <w:spacing w:after="0" w:line="240" w:lineRule="auto"/>
        <w:ind w:left="502"/>
        <w:jc w:val="both"/>
        <w:rPr>
          <w:rFonts w:ascii="Times New Roman" w:hAnsi="Times New Roman" w:cs="Times New Roman"/>
        </w:rPr>
      </w:pPr>
      <w:r w:rsidRPr="007F06EF">
        <w:rPr>
          <w:rFonts w:ascii="Times New Roman" w:hAnsi="Times New Roman" w:cs="Times New Roman"/>
        </w:rPr>
        <w:t>Kao dokaz uz navedene stavke moguće je priložiti</w:t>
      </w:r>
      <w:r w:rsidRPr="007F06EF">
        <w:t xml:space="preserve"> </w:t>
      </w:r>
      <w:r w:rsidR="000A3FFD" w:rsidRPr="007F06EF">
        <w:rPr>
          <w:rFonts w:ascii="Times New Roman" w:hAnsi="Times New Roman" w:cs="Times New Roman"/>
        </w:rPr>
        <w:t>procjene</w:t>
      </w:r>
      <w:r w:rsidRPr="007F06EF">
        <w:rPr>
          <w:rFonts w:ascii="Times New Roman" w:hAnsi="Times New Roman" w:cs="Times New Roman"/>
        </w:rPr>
        <w:t xml:space="preserve"> prihoda temeljene na ranijem iskustvu (npr. prihodi od ulaznica, vlastita sredstva, sponzorstva), odluke ili rezultate financiranja iz prethodnih godina za isto događanje i slično. Ugovori i konačni dokazi dostavljaju se u </w:t>
      </w:r>
      <w:r w:rsidR="000A3FFD" w:rsidRPr="007F06EF">
        <w:rPr>
          <w:rFonts w:ascii="Times New Roman" w:hAnsi="Times New Roman" w:cs="Times New Roman"/>
        </w:rPr>
        <w:t>Izvješću o održanom događanju i utrošenim sredstvima</w:t>
      </w:r>
      <w:r w:rsidRPr="007F06EF">
        <w:rPr>
          <w:rFonts w:ascii="Times New Roman" w:hAnsi="Times New Roman" w:cs="Times New Roman"/>
        </w:rPr>
        <w:t>, nakon realizacije događanja.</w:t>
      </w:r>
    </w:p>
    <w:p w14:paraId="4F05C087" w14:textId="5EFD7A49" w:rsidR="00827380" w:rsidRPr="007F06EF" w:rsidRDefault="00827380" w:rsidP="00827380">
      <w:pPr>
        <w:pStyle w:val="ListParagraph"/>
        <w:numPr>
          <w:ilvl w:val="0"/>
          <w:numId w:val="3"/>
        </w:numPr>
        <w:spacing w:after="0" w:line="240" w:lineRule="auto"/>
        <w:jc w:val="both"/>
        <w:rPr>
          <w:rFonts w:ascii="Times New Roman" w:hAnsi="Times New Roman" w:cs="Times New Roman"/>
          <w:b/>
          <w:bCs/>
        </w:rPr>
      </w:pPr>
      <w:r w:rsidRPr="007F06EF">
        <w:rPr>
          <w:rFonts w:ascii="Times New Roman" w:hAnsi="Times New Roman" w:cs="Times New Roman"/>
          <w:b/>
          <w:bCs/>
        </w:rPr>
        <w:t>C - VLASTITA SREDSTVA (navesti uložena sredstva) Isto pitanje za vlastita sredstva. Nije moguće dokazati uložena vlastita sredstva dok se ona de facto ne ulože? Možemo staviti projekciju na osnovu prijašnjih godina, no u vlastita sredstva ulaze i prihodi od ulaznica, najma prostora za prezentacije i ostali prihodi koji nisu sponzorstva i donacije, a koji su dokazivi kao u izvješću putem bankovnih dokaza o prihodima nakon što su sredstva realizirana. Kao zaključak dokazi su mogući ili kao dokazi realizacije prethodnih godina ili kao projekcija sa obvezom dokazivanja u izvješću. Ovo se odnosi i na ostale kućice u prijavnici kao npr. sadržaj popratne ponude događanja, dostupnost događanja za osobe smanjene pokretljivosti...</w:t>
      </w:r>
    </w:p>
    <w:p w14:paraId="0D72CD47" w14:textId="2CA357EA" w:rsidR="00D46949" w:rsidRPr="007F06EF" w:rsidRDefault="00D46949" w:rsidP="00D46949">
      <w:pPr>
        <w:spacing w:after="0" w:line="240" w:lineRule="auto"/>
        <w:ind w:left="502"/>
        <w:jc w:val="both"/>
        <w:rPr>
          <w:rFonts w:ascii="Times New Roman" w:hAnsi="Times New Roman" w:cs="Times New Roman"/>
        </w:rPr>
      </w:pPr>
      <w:r w:rsidRPr="007F06EF">
        <w:rPr>
          <w:rFonts w:ascii="Times New Roman" w:hAnsi="Times New Roman" w:cs="Times New Roman"/>
        </w:rPr>
        <w:t>Vlastita sredstva također se u fazi prijave mogu iskazati kao pro</w:t>
      </w:r>
      <w:r w:rsidR="000A3FFD" w:rsidRPr="007F06EF">
        <w:rPr>
          <w:rFonts w:ascii="Times New Roman" w:hAnsi="Times New Roman" w:cs="Times New Roman"/>
        </w:rPr>
        <w:t>cjena</w:t>
      </w:r>
      <w:r w:rsidRPr="007F06EF">
        <w:rPr>
          <w:rFonts w:ascii="Times New Roman" w:hAnsi="Times New Roman" w:cs="Times New Roman"/>
        </w:rPr>
        <w:t>, temeljena na prethodnim iskustvima i planiranim prihodima (npr. prihodi od ulaznica, najma prostora, prodaje i sl.). Dokazivanje vlastitih sredstava obvezno je u završnom izvješću, putem financijske dokumentacije.</w:t>
      </w:r>
    </w:p>
    <w:p w14:paraId="249828B5" w14:textId="5FE40D91" w:rsidR="00827380" w:rsidRPr="00D46949" w:rsidRDefault="008C4658" w:rsidP="00D46949">
      <w:pPr>
        <w:spacing w:after="0" w:line="240" w:lineRule="auto"/>
        <w:ind w:left="502"/>
        <w:jc w:val="both"/>
        <w:rPr>
          <w:rFonts w:ascii="Times New Roman" w:hAnsi="Times New Roman" w:cs="Times New Roman"/>
        </w:rPr>
      </w:pPr>
      <w:r w:rsidRPr="007F06EF">
        <w:rPr>
          <w:rFonts w:ascii="Times New Roman" w:hAnsi="Times New Roman" w:cs="Times New Roman"/>
        </w:rPr>
        <w:t>Navedeno se odnosi i na ostale dijelove prijave kao što su sadržaj popratne ponude događanja, dostupnost događanja za osobe smanjenje pokretljivosti i drugo.</w:t>
      </w:r>
    </w:p>
    <w:sectPr w:rsidR="00827380" w:rsidRPr="00D469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C6FAE"/>
    <w:multiLevelType w:val="hybridMultilevel"/>
    <w:tmpl w:val="842E5DAE"/>
    <w:lvl w:ilvl="0" w:tplc="041A0001">
      <w:start w:val="1"/>
      <w:numFmt w:val="bullet"/>
      <w:lvlText w:val=""/>
      <w:lvlJc w:val="left"/>
      <w:pPr>
        <w:ind w:left="915" w:hanging="360"/>
      </w:pPr>
      <w:rPr>
        <w:rFonts w:ascii="Symbol" w:hAnsi="Symbol" w:hint="default"/>
      </w:rPr>
    </w:lvl>
    <w:lvl w:ilvl="1" w:tplc="041A0003" w:tentative="1">
      <w:start w:val="1"/>
      <w:numFmt w:val="bullet"/>
      <w:lvlText w:val="o"/>
      <w:lvlJc w:val="left"/>
      <w:pPr>
        <w:ind w:left="1635" w:hanging="360"/>
      </w:pPr>
      <w:rPr>
        <w:rFonts w:ascii="Courier New" w:hAnsi="Courier New" w:cs="Courier New" w:hint="default"/>
      </w:rPr>
    </w:lvl>
    <w:lvl w:ilvl="2" w:tplc="041A0005" w:tentative="1">
      <w:start w:val="1"/>
      <w:numFmt w:val="bullet"/>
      <w:lvlText w:val=""/>
      <w:lvlJc w:val="left"/>
      <w:pPr>
        <w:ind w:left="2355" w:hanging="360"/>
      </w:pPr>
      <w:rPr>
        <w:rFonts w:ascii="Wingdings" w:hAnsi="Wingdings" w:hint="default"/>
      </w:rPr>
    </w:lvl>
    <w:lvl w:ilvl="3" w:tplc="041A0001" w:tentative="1">
      <w:start w:val="1"/>
      <w:numFmt w:val="bullet"/>
      <w:lvlText w:val=""/>
      <w:lvlJc w:val="left"/>
      <w:pPr>
        <w:ind w:left="3075" w:hanging="360"/>
      </w:pPr>
      <w:rPr>
        <w:rFonts w:ascii="Symbol" w:hAnsi="Symbol" w:hint="default"/>
      </w:rPr>
    </w:lvl>
    <w:lvl w:ilvl="4" w:tplc="041A0003" w:tentative="1">
      <w:start w:val="1"/>
      <w:numFmt w:val="bullet"/>
      <w:lvlText w:val="o"/>
      <w:lvlJc w:val="left"/>
      <w:pPr>
        <w:ind w:left="3795" w:hanging="360"/>
      </w:pPr>
      <w:rPr>
        <w:rFonts w:ascii="Courier New" w:hAnsi="Courier New" w:cs="Courier New" w:hint="default"/>
      </w:rPr>
    </w:lvl>
    <w:lvl w:ilvl="5" w:tplc="041A0005" w:tentative="1">
      <w:start w:val="1"/>
      <w:numFmt w:val="bullet"/>
      <w:lvlText w:val=""/>
      <w:lvlJc w:val="left"/>
      <w:pPr>
        <w:ind w:left="4515" w:hanging="360"/>
      </w:pPr>
      <w:rPr>
        <w:rFonts w:ascii="Wingdings" w:hAnsi="Wingdings" w:hint="default"/>
      </w:rPr>
    </w:lvl>
    <w:lvl w:ilvl="6" w:tplc="041A0001" w:tentative="1">
      <w:start w:val="1"/>
      <w:numFmt w:val="bullet"/>
      <w:lvlText w:val=""/>
      <w:lvlJc w:val="left"/>
      <w:pPr>
        <w:ind w:left="5235" w:hanging="360"/>
      </w:pPr>
      <w:rPr>
        <w:rFonts w:ascii="Symbol" w:hAnsi="Symbol" w:hint="default"/>
      </w:rPr>
    </w:lvl>
    <w:lvl w:ilvl="7" w:tplc="041A0003" w:tentative="1">
      <w:start w:val="1"/>
      <w:numFmt w:val="bullet"/>
      <w:lvlText w:val="o"/>
      <w:lvlJc w:val="left"/>
      <w:pPr>
        <w:ind w:left="5955" w:hanging="360"/>
      </w:pPr>
      <w:rPr>
        <w:rFonts w:ascii="Courier New" w:hAnsi="Courier New" w:cs="Courier New" w:hint="default"/>
      </w:rPr>
    </w:lvl>
    <w:lvl w:ilvl="8" w:tplc="041A0005" w:tentative="1">
      <w:start w:val="1"/>
      <w:numFmt w:val="bullet"/>
      <w:lvlText w:val=""/>
      <w:lvlJc w:val="left"/>
      <w:pPr>
        <w:ind w:left="6675" w:hanging="360"/>
      </w:pPr>
      <w:rPr>
        <w:rFonts w:ascii="Wingdings" w:hAnsi="Wingdings" w:hint="default"/>
      </w:rPr>
    </w:lvl>
  </w:abstractNum>
  <w:abstractNum w:abstractNumId="1" w15:restartNumberingAfterBreak="0">
    <w:nsid w:val="686250B2"/>
    <w:multiLevelType w:val="hybridMultilevel"/>
    <w:tmpl w:val="5E04347E"/>
    <w:lvl w:ilvl="0" w:tplc="2B3C23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49C4F63"/>
    <w:multiLevelType w:val="hybridMultilevel"/>
    <w:tmpl w:val="8960CB24"/>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D7"/>
    <w:rsid w:val="000A3FFD"/>
    <w:rsid w:val="00231A6F"/>
    <w:rsid w:val="004404D7"/>
    <w:rsid w:val="006920FC"/>
    <w:rsid w:val="0071598A"/>
    <w:rsid w:val="007631B8"/>
    <w:rsid w:val="007969F0"/>
    <w:rsid w:val="007B039B"/>
    <w:rsid w:val="007F06EF"/>
    <w:rsid w:val="00827380"/>
    <w:rsid w:val="00865E0E"/>
    <w:rsid w:val="008C4658"/>
    <w:rsid w:val="009012DE"/>
    <w:rsid w:val="00A86E01"/>
    <w:rsid w:val="00AF4E7F"/>
    <w:rsid w:val="00BD4BE3"/>
    <w:rsid w:val="00CC269A"/>
    <w:rsid w:val="00D22FF1"/>
    <w:rsid w:val="00D46949"/>
    <w:rsid w:val="00D80B00"/>
    <w:rsid w:val="00ED6106"/>
    <w:rsid w:val="00FA38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AAE4"/>
  <w15:chartTrackingRefBased/>
  <w15:docId w15:val="{C64B213D-DA9A-4F92-B3F4-38695E4D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4D7"/>
    <w:rPr>
      <w:rFonts w:eastAsiaTheme="majorEastAsia" w:cstheme="majorBidi"/>
      <w:color w:val="272727" w:themeColor="text1" w:themeTint="D8"/>
    </w:rPr>
  </w:style>
  <w:style w:type="paragraph" w:styleId="Title">
    <w:name w:val="Title"/>
    <w:basedOn w:val="Normal"/>
    <w:next w:val="Normal"/>
    <w:link w:val="TitleChar"/>
    <w:uiPriority w:val="10"/>
    <w:qFormat/>
    <w:rsid w:val="00440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4D7"/>
    <w:pPr>
      <w:spacing w:before="160"/>
      <w:jc w:val="center"/>
    </w:pPr>
    <w:rPr>
      <w:i/>
      <w:iCs/>
      <w:color w:val="404040" w:themeColor="text1" w:themeTint="BF"/>
    </w:rPr>
  </w:style>
  <w:style w:type="character" w:customStyle="1" w:styleId="QuoteChar">
    <w:name w:val="Quote Char"/>
    <w:basedOn w:val="DefaultParagraphFont"/>
    <w:link w:val="Quote"/>
    <w:uiPriority w:val="29"/>
    <w:rsid w:val="004404D7"/>
    <w:rPr>
      <w:i/>
      <w:iCs/>
      <w:color w:val="404040" w:themeColor="text1" w:themeTint="BF"/>
    </w:rPr>
  </w:style>
  <w:style w:type="paragraph" w:styleId="ListParagraph">
    <w:name w:val="List Paragraph"/>
    <w:basedOn w:val="Normal"/>
    <w:uiPriority w:val="34"/>
    <w:qFormat/>
    <w:rsid w:val="004404D7"/>
    <w:pPr>
      <w:ind w:left="720"/>
      <w:contextualSpacing/>
    </w:pPr>
  </w:style>
  <w:style w:type="character" w:styleId="IntenseEmphasis">
    <w:name w:val="Intense Emphasis"/>
    <w:basedOn w:val="DefaultParagraphFont"/>
    <w:uiPriority w:val="21"/>
    <w:qFormat/>
    <w:rsid w:val="004404D7"/>
    <w:rPr>
      <w:i/>
      <w:iCs/>
      <w:color w:val="0F4761" w:themeColor="accent1" w:themeShade="BF"/>
    </w:rPr>
  </w:style>
  <w:style w:type="paragraph" w:styleId="IntenseQuote">
    <w:name w:val="Intense Quote"/>
    <w:basedOn w:val="Normal"/>
    <w:next w:val="Normal"/>
    <w:link w:val="IntenseQuoteChar"/>
    <w:uiPriority w:val="30"/>
    <w:qFormat/>
    <w:rsid w:val="00440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4D7"/>
    <w:rPr>
      <w:i/>
      <w:iCs/>
      <w:color w:val="0F4761" w:themeColor="accent1" w:themeShade="BF"/>
    </w:rPr>
  </w:style>
  <w:style w:type="character" w:styleId="IntenseReference">
    <w:name w:val="Intense Reference"/>
    <w:basedOn w:val="DefaultParagraphFont"/>
    <w:uiPriority w:val="32"/>
    <w:qFormat/>
    <w:rsid w:val="004404D7"/>
    <w:rPr>
      <w:b/>
      <w:bCs/>
      <w:smallCaps/>
      <w:color w:val="0F4761" w:themeColor="accent1" w:themeShade="BF"/>
      <w:spacing w:val="5"/>
    </w:rPr>
  </w:style>
  <w:style w:type="paragraph" w:styleId="NormalWeb">
    <w:name w:val="Normal (Web)"/>
    <w:basedOn w:val="Normal"/>
    <w:uiPriority w:val="99"/>
    <w:unhideWhenUsed/>
    <w:rsid w:val="009012DE"/>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Strong">
    <w:name w:val="Strong"/>
    <w:basedOn w:val="DefaultParagraphFont"/>
    <w:uiPriority w:val="22"/>
    <w:qFormat/>
    <w:rsid w:val="009012DE"/>
    <w:rPr>
      <w:b/>
      <w:bCs/>
    </w:rPr>
  </w:style>
  <w:style w:type="character" w:styleId="Hyperlink">
    <w:name w:val="Hyperlink"/>
    <w:basedOn w:val="DefaultParagraphFont"/>
    <w:uiPriority w:val="99"/>
    <w:unhideWhenUsed/>
    <w:rsid w:val="00ED6106"/>
    <w:rPr>
      <w:color w:val="467886" w:themeColor="hyperlink"/>
      <w:u w:val="single"/>
    </w:rPr>
  </w:style>
  <w:style w:type="character" w:styleId="UnresolvedMention">
    <w:name w:val="Unresolved Mention"/>
    <w:basedOn w:val="DefaultParagraphFont"/>
    <w:uiPriority w:val="99"/>
    <w:semiHidden/>
    <w:unhideWhenUsed/>
    <w:rsid w:val="00ED6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tjecaji.zagreb.hr/authentication/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Kralj</dc:creator>
  <cp:keywords/>
  <dc:description/>
  <cp:lastModifiedBy>Ana PK</cp:lastModifiedBy>
  <cp:revision>10</cp:revision>
  <dcterms:created xsi:type="dcterms:W3CDTF">2025-12-22T07:47:00Z</dcterms:created>
  <dcterms:modified xsi:type="dcterms:W3CDTF">2025-12-29T13:03:00Z</dcterms:modified>
</cp:coreProperties>
</file>